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MALL FÖR FÖRETAGETS MOBILPOLICY</w:t>
      </w:r>
    </w:p>
    <w:p>
      <w:pPr>
        <w:jc w:val="center"/>
      </w:pPr>
      <w:r>
        <w:rPr>
          <w:b/>
        </w:rPr>
        <w:t>Policy för tjänstemobiler, mobilabonnemang och mobil användning</w:t>
      </w:r>
    </w:p>
    <w:p>
      <w:r>
        <w:t>Den här mallen kan anpassas efter företagets verksamhet, säkerhetskrav och rutiner. Fyll i uppgifterna inom hakparenteser och ta bort avsnitt som inte är relevanta.</w:t>
      </w:r>
    </w:p>
    <w:tbl>
      <w:tblPr>
        <w:tblStyle w:val="TableGrid"/>
        <w:tblW w:type="auto" w:w="0"/>
        <w:jc w:val="center"/>
        <w:tblLook w:firstColumn="1" w:firstRow="1" w:lastColumn="0" w:lastRow="0" w:noHBand="0" w:noVBand="1" w:val="04A0"/>
      </w:tblPr>
      <w:tblGrid>
        <w:gridCol w:w="4873"/>
        <w:gridCol w:w="4873"/>
      </w:tblGrid>
      <w:tr>
        <w:tc>
          <w:tcPr>
            <w:tcW w:type="dxa" w:w="4873"/>
            <w:vAlign w:val="center"/>
          </w:tcPr>
          <w:p>
            <w:r>
              <w:rPr>
                <w:b/>
              </w:rPr>
              <w:t>Företag</w:t>
            </w:r>
          </w:p>
        </w:tc>
        <w:tc>
          <w:tcPr>
            <w:tcW w:type="dxa" w:w="4873"/>
            <w:vAlign w:val="center"/>
          </w:tcPr>
          <w:p>
            <w:r>
              <w:t>[Företagsnamn]</w:t>
            </w:r>
          </w:p>
        </w:tc>
      </w:tr>
      <w:tr>
        <w:tc>
          <w:tcPr>
            <w:tcW w:type="dxa" w:w="4873"/>
            <w:vAlign w:val="center"/>
          </w:tcPr>
          <w:p>
            <w:r>
              <w:rPr>
                <w:b/>
              </w:rPr>
              <w:t>Organisationsnummer</w:t>
            </w:r>
          </w:p>
        </w:tc>
        <w:tc>
          <w:tcPr>
            <w:tcW w:type="dxa" w:w="4873"/>
            <w:vAlign w:val="center"/>
          </w:tcPr>
          <w:p>
            <w:r>
              <w:t>[Organisationsnummer]</w:t>
            </w:r>
          </w:p>
        </w:tc>
      </w:tr>
      <w:tr>
        <w:tc>
          <w:tcPr>
            <w:tcW w:type="dxa" w:w="4873"/>
            <w:vAlign w:val="center"/>
          </w:tcPr>
          <w:p>
            <w:r>
              <w:rPr>
                <w:b/>
              </w:rPr>
              <w:t>Gäller från</w:t>
            </w:r>
          </w:p>
        </w:tc>
        <w:tc>
          <w:tcPr>
            <w:tcW w:type="dxa" w:w="4873"/>
            <w:vAlign w:val="center"/>
          </w:tcPr>
          <w:p>
            <w:r>
              <w:t>[ÅÅÅÅ-MM-DD]</w:t>
            </w:r>
          </w:p>
        </w:tc>
      </w:tr>
      <w:tr>
        <w:tc>
          <w:tcPr>
            <w:tcW w:type="dxa" w:w="4873"/>
            <w:vAlign w:val="center"/>
          </w:tcPr>
          <w:p>
            <w:r>
              <w:rPr>
                <w:b/>
              </w:rPr>
              <w:t>Policyansvarig</w:t>
            </w:r>
          </w:p>
        </w:tc>
        <w:tc>
          <w:tcPr>
            <w:tcW w:type="dxa" w:w="4873"/>
            <w:vAlign w:val="center"/>
          </w:tcPr>
          <w:p>
            <w:r>
              <w:t>[Namn/befattning]</w:t>
            </w:r>
          </w:p>
        </w:tc>
      </w:tr>
      <w:tr>
        <w:tc>
          <w:tcPr>
            <w:tcW w:type="dxa" w:w="4873"/>
            <w:vAlign w:val="center"/>
          </w:tcPr>
          <w:p>
            <w:r>
              <w:rPr>
                <w:b/>
              </w:rPr>
              <w:t>Senast reviderad</w:t>
            </w:r>
          </w:p>
        </w:tc>
        <w:tc>
          <w:tcPr>
            <w:tcW w:type="dxa" w:w="4873"/>
            <w:vAlign w:val="center"/>
          </w:tcPr>
          <w:p>
            <w:r>
              <w:t>[ÅÅÅÅ-MM-DD]</w:t>
            </w:r>
          </w:p>
        </w:tc>
      </w:tr>
    </w:tbl>
    <w:p>
      <w:pPr>
        <w:pStyle w:val="Heading1"/>
      </w:pPr>
      <w:r>
        <w:t>1. Syfte</w:t>
      </w:r>
    </w:p>
    <w:p>
      <w:r>
        <w:t>Syftet med denna mobilpolicy är att tydliggöra företagets regler för tjänstemobiler, SIM-kort och mobilabonnemang. Policyn ska bidra till kostnadskontroll, informationssäkerhet och ett enhetligt arbetssätt samt klargöra den anställdes ansvar vid användning av företagets mobila utrustning.</w:t>
      </w:r>
    </w:p>
    <w:p>
      <w:pPr>
        <w:pStyle w:val="Heading1"/>
      </w:pPr>
      <w:r>
        <w:t>2. Omfattning</w:t>
      </w:r>
    </w:p>
    <w:p>
      <w:r>
        <w:t>Policyn gäller för samtliga anställda, konsulter och andra personer som av [Företagsnamn] har tilldelats en mobiltelefon, ett SIM-kort, ett mobilabonnemang eller annan mobil utrustning. Policyn gäller även när privat mobiltelefon används i tjänsten om företaget helt eller delvis ersätter kostnaden.</w:t>
      </w:r>
    </w:p>
    <w:p>
      <w:pPr>
        <w:pStyle w:val="Heading1"/>
      </w:pPr>
      <w:r>
        <w:t>3. Tilldelning av tjänstemobil</w:t>
      </w:r>
    </w:p>
    <w:p>
      <w:r>
        <w:t>Tjänstemobil får tilldelas när det finns ett dokumenterat behov i arbetet. Beslut fattas av [chef/befattning]. Telefon och tillbehör som köps av företaget tillhör företaget om inget annat skriftligen har avtalats.</w:t>
      </w:r>
    </w:p>
    <w:p>
      <w:r>
        <w:t>Vid utlämning bör följande dokumenteras: användarens namn, telefonmodell, serienummer/IMEI, telefonnummer, SIM-kort, tillbehör samt datum för utlämning.</w:t>
      </w:r>
    </w:p>
    <w:p>
      <w:pPr>
        <w:pStyle w:val="Heading1"/>
      </w:pPr>
      <w:r>
        <w:t>4. Mobilabonnemang</w:t>
      </w:r>
    </w:p>
    <w:p>
      <w:r>
        <w:t>Företaget tecknar och administrerar normalt mobilabonnemang som behövs i verksamheten. Val av abonnemang ska utgå från verksamhetens faktiska behov och väga in bland annat pris, täckning, datamängd, samtal, SMS, roaming, bindningstid och eventuella företagsfunktioner.</w:t>
      </w:r>
    </w:p>
    <w:p>
      <w:r>
        <w:t>Den anställde får inte utan godkännande byta abonnemang, beställa tilläggstjänster eller ingå avtal som medför kostnader för företaget.</w:t>
      </w:r>
    </w:p>
    <w:p>
      <w:r>
        <w:t>Ansvarig för företagets mobilabonnemang: [Namn/befattning].</w:t>
      </w:r>
    </w:p>
    <w:p>
      <w:pPr>
        <w:pStyle w:val="Heading1"/>
      </w:pPr>
      <w:r>
        <w:t>5. Privat användning</w:t>
      </w:r>
    </w:p>
    <w:p>
      <w:r>
        <w:t>[Välj och anpassa ett alternativ:]</w:t>
      </w:r>
    </w:p>
    <w:p>
      <w:r>
        <w:t>Alternativ A – Begränsad privat användning är tillåten så länge den inte medför väsentliga merkostnader, påverkar arbetet eller strider mot lag, interna regler eller operatörens villkor.</w:t>
      </w:r>
    </w:p>
    <w:p>
      <w:r>
        <w:t>Alternativ B – Tjänstemobil och abonnemang får endast användas i tjänsten.</w:t>
      </w:r>
    </w:p>
    <w:p>
      <w:r>
        <w:t>Kostnader som uppkommer genom otillåten eller oskälig privat användning kan, i den utsträckning det är tillåtet enligt lag och avtal, behöva ersättas av användaren.</w:t>
      </w:r>
    </w:p>
    <w:p>
      <w:pPr>
        <w:pStyle w:val="Heading1"/>
      </w:pPr>
      <w:r>
        <w:t>6. Samtal, data och roaming utomlands</w:t>
      </w:r>
    </w:p>
    <w:p>
      <w:r>
        <w:t>Roaming och internationella samtal kan medföra betydande kostnader. Användaren ska följa företagets instruktioner inför och under utlandsresor. Utanför EU/EES ska roaming aktiveras eller användas endast när det behövs för arbetet och enligt företagets riktlinjer.</w:t>
      </w:r>
    </w:p>
    <w:p>
      <w:r>
        <w:t>Vid längre resor ska [chef/IT/ekonomiansvarig] bedöma om lokalt SIM/eSIM, roamingpaket eller annan lösning är mer kostnadseffektiv.</w:t>
      </w:r>
    </w:p>
    <w:p>
      <w:pPr>
        <w:pStyle w:val="Heading1"/>
      </w:pPr>
      <w:r>
        <w:t>7. Appar, köp och betaltjänster</w:t>
      </w:r>
    </w:p>
    <w:p>
      <w:r>
        <w:t>Appar som behövs i tjänsten får installeras enligt företagets IT- och säkerhetsregler. Köp av appar, prenumerationer, premium-SMS, betaltjänster och andra debiteringar på företagets abonnemang kräver godkännande från [chef/befattning], om de inte uttryckligen ingår i användarens arbetsuppgifter.</w:t>
      </w:r>
    </w:p>
    <w:p>
      <w:pPr>
        <w:pStyle w:val="Heading1"/>
      </w:pPr>
      <w:r>
        <w:t>8. Informationssäkerhet</w:t>
      </w:r>
    </w:p>
    <w:p>
      <w:r>
        <w:t>Tjänstemobilen ska skyddas med PIN-kod, lösenkod eller biometriskt skydd. Automatisk skärmlåsning ska vara aktiverad. Användaren får inte medvetet kringgå företagets säkerhetsinställningar.</w:t>
      </w:r>
    </w:p>
    <w:p>
      <w:r>
        <w:t>Företagsinformation ska hanteras enligt företagets övriga IT-, sekretess- och dataskyddsregler. Operativsystem och säkerhetsuppdateringar ska installeras inom rimlig tid. Misstänkta länkar, appar eller meddelanden ska inte öppnas om avsändaren eller innehållet inte kan verifieras.</w:t>
      </w:r>
    </w:p>
    <w:p>
      <w:pPr>
        <w:pStyle w:val="Heading1"/>
      </w:pPr>
      <w:r>
        <w:t>9. Förlust, stöld och skada</w:t>
      </w:r>
    </w:p>
    <w:p>
      <w:r>
        <w:t>Förlust eller stöld av tjänstemobil eller SIM-kort ska omedelbart rapporteras till [kontaktperson/IT] på [telefon/e-post]. Företaget ska vid behov kunna spärra SIM-kort, abonnemang och enhet samt fjärradera företagsinformation.</w:t>
      </w:r>
    </w:p>
    <w:p>
      <w:r>
        <w:t>Skador ska rapporteras så snart som möjligt. Kostnadsansvar vid vårdslöshet bedöms från fall till fall och i enlighet med tillämpliga regler och avtal.</w:t>
      </w:r>
    </w:p>
    <w:p>
      <w:pPr>
        <w:pStyle w:val="Heading1"/>
      </w:pPr>
      <w:r>
        <w:t>10. Byte och återlämning</w:t>
      </w:r>
    </w:p>
    <w:p>
      <w:r>
        <w:t>När anställningen eller uppdraget upphör, eller när företaget begär det, ska telefon, SIM-kort och tillbehör återlämnas senast [tidpunkt]. Företagsinformation ska hanteras enligt företagets instruktioner innan enheten återställs.</w:t>
      </w:r>
    </w:p>
    <w:p>
      <w:r>
        <w:t>Privata bilder, kontakter och annan privat information ska tas bort av användaren före återlämning. Företaget ansvarar inte för privat information som finns kvar på företagets utrustning efter återlämning.</w:t>
      </w:r>
    </w:p>
    <w:p>
      <w:pPr>
        <w:pStyle w:val="Heading1"/>
      </w:pPr>
      <w:r>
        <w:t>11. Kostnadskontroll</w:t>
      </w:r>
    </w:p>
    <w:p>
      <w:r>
        <w:t>Företaget bör regelbundet följa upp kostnaderna för mobiltelefoni och kontrollera att abonnemangen motsvarar användarnas faktiska behov. Oanvända abonnemang och onödiga tilläggstjänster bör avslutas.</w:t>
      </w:r>
    </w:p>
    <w:p>
      <w:r>
        <w:t>Avvikande eller ovanligt höga kostnader ska granskas av [ekonomiansvarig/chef].</w:t>
      </w:r>
    </w:p>
    <w:p>
      <w:pPr>
        <w:pStyle w:val="Heading1"/>
      </w:pPr>
      <w:r>
        <w:t>12. Integritet och kontroll</w:t>
      </w:r>
    </w:p>
    <w:p>
      <w:r>
        <w:t>Eventuell kontroll av användning, kostnader, säkerhetsstatus eller företagsdata ska ske med hänsyn till tillämplig lagstiftning, dataskyddsregler och företagets övriga policys. Företaget ska informera berörda personer om sådan behandling när det krävs.</w:t>
      </w:r>
    </w:p>
    <w:p>
      <w:pPr>
        <w:pStyle w:val="Heading1"/>
      </w:pPr>
      <w:r>
        <w:t>13. Undantag</w:t>
      </w:r>
    </w:p>
    <w:p>
      <w:r>
        <w:t>Undantag från denna policy kräver godkännande av [VD/chef/befattning]. Godkända undantag bör dokumenteras skriftligen.</w:t>
      </w:r>
    </w:p>
    <w:p>
      <w:pPr>
        <w:pStyle w:val="Heading1"/>
      </w:pPr>
      <w:r>
        <w:t>14. Överträdelse av policyn</w:t>
      </w:r>
    </w:p>
    <w:p>
      <w:r>
        <w:t>Överträdelse av policyn ska hanteras i enlighet med företagets rutiner, anställningsvillkor och tillämplig lagstiftning. Vid osäkerhet ska ansvarig chef eller HR kontaktas innan åtgärder vidtas.</w:t>
      </w:r>
    </w:p>
    <w:p>
      <w:pPr>
        <w:pStyle w:val="Heading1"/>
      </w:pPr>
      <w:r>
        <w:t>15. Godkännande</w:t>
      </w:r>
    </w:p>
    <w:p>
      <w:r>
        <w:t>Genom underskrift bekräftar användaren att denne har tagit del av företagets mobilpolicy och förbinder sig att följa de regler och instruktioner som anges i policyn.</w:t>
      </w:r>
    </w:p>
    <w:p/>
    <w:tbl>
      <w:tblPr>
        <w:tblStyle w:val="TableGrid"/>
        <w:tblW w:type="auto" w:w="0"/>
        <w:jc w:val="center"/>
        <w:tblLook w:firstColumn="1" w:firstRow="1" w:lastColumn="0" w:lastRow="0" w:noHBand="0" w:noVBand="1" w:val="04A0"/>
      </w:tblPr>
      <w:tblGrid>
        <w:gridCol w:w="4873"/>
        <w:gridCol w:w="4873"/>
      </w:tblGrid>
      <w:tr>
        <w:tc>
          <w:tcPr>
            <w:tcW w:type="dxa" w:w="4873"/>
          </w:tcPr>
          <w:p>
            <w:r>
              <w:rPr>
                <w:b/>
              </w:rPr>
              <w:t>Ort och datum</w:t>
            </w:r>
          </w:p>
        </w:tc>
        <w:tc>
          <w:tcPr>
            <w:tcW w:type="dxa" w:w="4873"/>
          </w:tcPr>
          <w:p>
            <w:r>
              <w:t>[Ort och datum]</w:t>
            </w:r>
          </w:p>
        </w:tc>
      </w:tr>
      <w:tr>
        <w:tc>
          <w:tcPr>
            <w:tcW w:type="dxa" w:w="4873"/>
          </w:tcPr>
          <w:p>
            <w:r>
              <w:rPr>
                <w:b/>
              </w:rPr>
              <w:t>Namn</w:t>
            </w:r>
          </w:p>
        </w:tc>
        <w:tc>
          <w:tcPr>
            <w:tcW w:type="dxa" w:w="4873"/>
          </w:tcPr>
          <w:p>
            <w:r>
              <w:t>[Namn]</w:t>
            </w:r>
          </w:p>
        </w:tc>
      </w:tr>
      <w:tr>
        <w:tc>
          <w:tcPr>
            <w:tcW w:type="dxa" w:w="4873"/>
          </w:tcPr>
          <w:p>
            <w:r>
              <w:rPr>
                <w:b/>
              </w:rPr>
              <w:t>Befattning</w:t>
            </w:r>
          </w:p>
        </w:tc>
        <w:tc>
          <w:tcPr>
            <w:tcW w:type="dxa" w:w="4873"/>
          </w:tcPr>
          <w:p>
            <w:r>
              <w:t>[Befattning]</w:t>
            </w:r>
          </w:p>
        </w:tc>
      </w:tr>
      <w:tr>
        <w:tc>
          <w:tcPr>
            <w:tcW w:type="dxa" w:w="4873"/>
          </w:tcPr>
          <w:p>
            <w:r>
              <w:rPr>
                <w:b/>
              </w:rPr>
              <w:t>Underskrift</w:t>
            </w:r>
          </w:p>
        </w:tc>
        <w:tc>
          <w:tcPr>
            <w:tcW w:type="dxa" w:w="4873"/>
          </w:tcPr>
          <w:p>
            <w:r>
              <w:br/>
              <w:br/>
            </w:r>
          </w:p>
        </w:tc>
      </w:tr>
    </w:tbl>
    <w:p/>
    <w:p>
      <w:r>
        <w:rPr>
          <w:b/>
        </w:rPr>
        <w:t xml:space="preserve">Obs! </w:t>
      </w:r>
      <w:r>
        <w:t>Mallen är generell och utgör inte juridisk rådgivning. Anpassa policyn efter företagets förhållanden, kollektivavtal, anställningsvillkor, dataskyddsrutiner och övriga interna regler.</w:t>
      </w: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i/>
      </w:rPr>
      <w:t>Mall – Företagets mobilpolicy</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w:hAnsi="Aptos"/>
      <w:b/>
      <w:bCs/>
      <w:color w:val="365F91" w:themeColor="accent1" w:themeShade="BF"/>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w:hAnsi="Aptos"/>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w:hAnsi="Aptos"/>
      <w:color w:val="17365D" w:themeColor="text2" w:themeShade="BF"/>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